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ind w:left="3606" w:right="3741" w:hanging="0"/>
        <w:rPr>
          <w:rFonts w:ascii="Calibri" w:hAnsi="Calibri"/>
        </w:rPr>
      </w:pPr>
      <w:r>
        <w:rPr>
          <w:rFonts w:ascii="Calibri" w:hAnsi="Calibri"/>
        </w:rPr>
        <w:t>Wilby Parish Council  MINUTES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To: Members of Wilby Parish Council</w:t>
      </w:r>
    </w:p>
    <w:p>
      <w:pPr>
        <w:pStyle w:val="TextBody"/>
        <w:spacing w:before="61" w:after="0"/>
        <w:ind w:left="113" w:right="24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are duly summoned to attend the next meeting of Wilby Parish Council to be held at 6.30pm on Wednesday 22</w:t>
      </w:r>
      <w:r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May 2024 at Wilby Coronation Hall.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ind w:left="11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 Attendance</w:t>
      </w:r>
    </w:p>
    <w:p>
      <w:pPr>
        <w:pStyle w:val="TextBody"/>
        <w:spacing w:before="60" w:after="0"/>
        <w:ind w:left="113" w:right="10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Members of the public and press are welcome to attend. At item 9, the public will be invited to give their views/question the Parish Council on issues on the agenda, or raise issues for consideration of inclusion at future meetings. This item will generally be limited to 15 minutes duration.</w:t>
      </w:r>
    </w:p>
    <w:p>
      <w:pPr>
        <w:pStyle w:val="TextBody"/>
        <w:spacing w:before="1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Welcome to Cllr Ball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Apologies and approval of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(a) Councillors to receive any apologies for absence: </w:t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 xml:space="preserve">Cllr Anders, Footpath &amp; Tree Warden 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(b) Councillors to </w:t>
      </w:r>
      <w:r>
        <w:rPr>
          <w:rFonts w:ascii="Calibri" w:hAnsi="Calibri"/>
          <w:b/>
          <w:bCs/>
          <w:sz w:val="22"/>
          <w:szCs w:val="22"/>
        </w:rPr>
        <w:t>vote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on acceptance of any apologies received</w:t>
      </w:r>
      <w:r>
        <w:rPr>
          <w:rFonts w:ascii="Calibri" w:hAnsi="Calibri"/>
          <w:b w:val="false"/>
          <w:bCs w:val="false"/>
          <w:color w:val="C9211E"/>
          <w:sz w:val="22"/>
          <w:szCs w:val="22"/>
        </w:rPr>
        <w:t xml:space="preserve">: </w:t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>Voting not required</w:t>
      </w:r>
    </w:p>
    <w:p>
      <w:pPr>
        <w:pStyle w:val="TextBody"/>
        <w:spacing w:before="1" w:after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receive Declarations of</w:t>
      </w:r>
      <w:r>
        <w:rPr>
          <w:rFonts w:ascii="Calibri" w:hAnsi="Calibri"/>
          <w:b/>
          <w:spacing w:val="-8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Interest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(a) Pecuniary Intere</w:t>
      </w:r>
      <w:r>
        <w:rPr>
          <w:rFonts w:ascii="Calibri" w:hAnsi="Calibri"/>
          <w:color w:val="000000"/>
          <w:sz w:val="22"/>
          <w:szCs w:val="22"/>
        </w:rPr>
        <w:t>sts N/A</w:t>
      </w:r>
    </w:p>
    <w:p>
      <w:pPr>
        <w:pStyle w:val="TextBody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(b) Other registerable interests N/A </w:t>
      </w:r>
    </w:p>
    <w:p>
      <w:pPr>
        <w:pStyle w:val="TextBody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ab/>
        <w:t>(c) Non-registerable interests N/A</w:t>
      </w:r>
    </w:p>
    <w:p>
      <w:pPr>
        <w:pStyle w:val="TextBody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consider requests for</w:t>
      </w:r>
      <w:r>
        <w:rPr>
          <w:rFonts w:ascii="Calibri" w:hAnsi="Calibri"/>
          <w:b/>
          <w:spacing w:val="-2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dispensations </w:t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>N/A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Councillor vacancies: To review any applications for co-option: </w:t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>None</w:t>
      </w:r>
    </w:p>
    <w:p>
      <w:pPr>
        <w:pStyle w:val="TextBody"/>
        <w:spacing w:before="10" w:after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resolve that the minutes of the meeting of the council</w:t>
      </w:r>
      <w:r>
        <w:rPr>
          <w:rFonts w:ascii="Calibri" w:hAnsi="Calibri"/>
          <w:b/>
          <w:spacing w:val="-18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held</w:t>
      </w:r>
      <w:r>
        <w:rPr>
          <w:rFonts w:ascii="Calibri" w:hAnsi="Calibri"/>
          <w:b/>
          <w:spacing w:val="-2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on 11</w:t>
      </w:r>
      <w:r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April  are a true and correct</w:t>
      </w:r>
      <w:r>
        <w:rPr>
          <w:rFonts w:ascii="Calibri" w:hAnsi="Calibri"/>
          <w:b/>
          <w:spacing w:val="-5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record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Agreed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To be discussed at APM</w:t>
      </w:r>
    </w:p>
    <w:p>
      <w:pPr>
        <w:pStyle w:val="TextBody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Progress Reports/updates to be deferred to the following meeting</w:t>
      </w:r>
    </w:p>
    <w:p>
      <w:pPr>
        <w:pStyle w:val="TextBody"/>
        <w:spacing w:before="8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None.</w:t>
      </w:r>
    </w:p>
    <w:p>
      <w:pPr>
        <w:pStyle w:val="TextBody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consider planning</w:t>
      </w:r>
      <w:r>
        <w:rPr>
          <w:rFonts w:ascii="Calibri" w:hAnsi="Calibri"/>
          <w:b/>
          <w:spacing w:val="-12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applications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66" w:leader="none"/>
          <w:tab w:val="left" w:pos="681" w:leader="none"/>
        </w:tabs>
        <w:ind w:left="0" w:right="6548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applications for consideration.</w:t>
      </w:r>
    </w:p>
    <w:p>
      <w:pPr>
        <w:pStyle w:val="TextBody"/>
        <w:spacing w:before="11" w:after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Finance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ab/>
        <w:t>To receive Finance</w:t>
      </w:r>
      <w:r>
        <w:rPr>
          <w:rFonts w:ascii="Calibri" w:hAnsi="Calibri"/>
          <w:b w:val="false"/>
          <w:bCs w:val="false"/>
          <w:color w:val="000000"/>
          <w:spacing w:val="-1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Report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720" w:hanging="568"/>
        <w:jc w:val="left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ab/>
        <w:t xml:space="preserve">Due to an error on behalf of Lloyds Bank, the finance section this month is unavailable as the Clerk does not currently have account access. 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720" w:hanging="568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Reconciliation - TBC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 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Actual - TBC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Receipts and Payments since last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meeting – 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color w:val="000000"/>
        </w:rPr>
      </w:pPr>
      <w:r>
        <w:rPr>
          <w:color w:val="000000"/>
        </w:rPr>
        <w:t>Clerk to send the above post meeting as an update to all Cllrs.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color w:val="000000"/>
        </w:rPr>
      </w:pPr>
      <w:r>
        <w:rPr/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51" w:leader="none"/>
          <w:tab w:val="left" w:pos="1252" w:leader="none"/>
        </w:tabs>
        <w:ind w:left="1251" w:hanging="522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 authorise payments as listed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below:</w:t>
      </w:r>
    </w:p>
    <w:p>
      <w:pPr>
        <w:pStyle w:val="TextBody"/>
        <w:spacing w:before="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Suffolk Cloud Website Hosting £120</w:t>
      </w:r>
      <w:r>
        <w:rPr>
          <w:rFonts w:ascii="Calibri" w:hAnsi="Calibri"/>
          <w:color w:val="000000"/>
          <w:sz w:val="22"/>
          <w:szCs w:val="22"/>
        </w:rPr>
        <w:t xml:space="preserve"> - Approved</w:t>
        <w:tab/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SALC Membership 2024/2025 £177.04 - Approved</w:t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Defibrillator Annual Support Invoice £151.20 - Approved</w:t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Clerk expense (stamps): £3.40 - Approved</w:t>
      </w:r>
    </w:p>
    <w:p>
      <w:pPr>
        <w:pStyle w:val="TextBody"/>
        <w:tabs>
          <w:tab w:val="clear" w:pos="720"/>
          <w:tab w:val="left" w:pos="6352" w:leader="none"/>
        </w:tabs>
        <w:spacing w:lineRule="exact" w:line="267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Body"/>
        <w:tabs>
          <w:tab w:val="clear" w:pos="720"/>
          <w:tab w:val="left" w:pos="6352" w:leader="none"/>
        </w:tabs>
        <w:spacing w:lineRule="exact" w:line="267"/>
        <w:ind w:left="720" w:hanging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c. To retrospectively authorise payments as listed below:</w:t>
      </w:r>
    </w:p>
    <w:p>
      <w:pPr>
        <w:pStyle w:val="TextBody"/>
        <w:tabs>
          <w:tab w:val="clear" w:pos="720"/>
          <w:tab w:val="left" w:pos="6352" w:leader="none"/>
        </w:tabs>
        <w:spacing w:lineRule="exact" w:line="267"/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HMRC £101.80</w:t>
      </w:r>
    </w:p>
    <w:p>
      <w:pPr>
        <w:pStyle w:val="TextBody"/>
        <w:numPr>
          <w:ilvl w:val="0"/>
          <w:numId w:val="0"/>
        </w:numPr>
        <w:tabs>
          <w:tab w:val="clear" w:pos="720"/>
          <w:tab w:val="left" w:pos="6352" w:leader="none"/>
        </w:tabs>
        <w:spacing w:lineRule="exact" w:line="267"/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Salaries £407.80</w:t>
      </w:r>
    </w:p>
    <w:p>
      <w:pPr>
        <w:pStyle w:val="TextBody"/>
        <w:numPr>
          <w:ilvl w:val="0"/>
          <w:numId w:val="0"/>
        </w:numPr>
        <w:tabs>
          <w:tab w:val="clear" w:pos="720"/>
          <w:tab w:val="left" w:pos="6352" w:leader="none"/>
        </w:tabs>
        <w:spacing w:lineRule="exact" w:line="267"/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0" w:hanging="0"/>
        <w:rPr>
          <w:rFonts w:ascii="Calibri" w:hAnsi="Calibri"/>
          <w:b/>
          <w:b/>
          <w:color w:val="000000"/>
          <w:sz w:val="22"/>
          <w:szCs w:val="22"/>
          <w:highlight w:val="none"/>
          <w:shd w:fill="FFFF00" w:val="clear"/>
        </w:rPr>
      </w:pPr>
      <w:r>
        <w:rPr>
          <w:rFonts w:ascii="Calibri" w:hAnsi="Calibri"/>
          <w:b/>
          <w:color w:val="000000"/>
          <w:sz w:val="22"/>
          <w:szCs w:val="22"/>
          <w:shd w:fill="FFFF00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AGAR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a. The Annual Internal Audit Report received and noted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b. The Annual Governance Statement (Section 1) is approved and signed by the Clerk and the Chair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c. The Accounting Statements (Section 2) are approved and signed by the Chair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d. The Certificate of Exemption is 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e. The RFO sets the commencement date for the exercise of public rights: Monday 3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  <w:vertAlign w:val="superscript"/>
        </w:rPr>
        <w:t>rd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 xml:space="preserve"> June to Friday 12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  <w:vertAlign w:val="superscript"/>
        </w:rPr>
        <w:t>th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 xml:space="preserve"> July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f. The Certificate of Exemption is signed by the RFO and the Chair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g. To appoint the Internal Audito</w:t>
      </w: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r – Heelis and Lodge appointed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a. </w:t>
      </w:r>
      <w:r>
        <w:rPr>
          <w:rFonts w:ascii="Calibri" w:hAnsi="Calibri"/>
          <w:b w:val="false"/>
          <w:bCs w:val="false"/>
          <w:i/>
          <w:iCs/>
          <w:color w:val="000000"/>
          <w:sz w:val="22"/>
          <w:szCs w:val="22"/>
          <w:shd w:fill="auto" w:val="clear"/>
        </w:rPr>
        <w:t>Community Emergency Planning 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b. Standing Orders – to be deferred for approval at next 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c. Financial Regulations – to be deferred for approval at next 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highlight w:val="none"/>
          <w:shd w:fill="FFFF00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FFFF00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CIL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Monies received from CIL payment in 2017: MSDC has approved the Parish Council to utilise the CIL payment for planned works.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Items for consideration for inclusion on the next</w:t>
      </w:r>
      <w:r>
        <w:rPr>
          <w:rFonts w:ascii="Calibri" w:hAnsi="Calibri"/>
          <w:b/>
          <w:color w:val="000000"/>
          <w:spacing w:val="-11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shd w:fill="auto" w:val="clear"/>
        </w:rPr>
        <w:t>agenda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color w:val="000000"/>
        </w:rPr>
      </w:pPr>
      <w:r>
        <w:rPr>
          <w:color w:val="000000"/>
        </w:rPr>
        <w:t>CIL and Highways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color w:val="000000"/>
        </w:rPr>
      </w:pPr>
      <w:r>
        <w:rPr>
          <w:color w:val="000000"/>
        </w:rPr>
        <w:t>Signage at Wilby Green</w:t>
      </w:r>
    </w:p>
    <w:p>
      <w:pPr>
        <w:pStyle w:val="TextBody"/>
        <w:spacing w:before="11" w:after="0"/>
        <w:rPr>
          <w:rFonts w:ascii="Calibri" w:hAnsi="Calibri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Correspondence for</w:t>
      </w:r>
      <w:r>
        <w:rPr>
          <w:rFonts w:ascii="Calibri" w:hAnsi="Calibri"/>
          <w:b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shd w:fill="auto" w:val="clear"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color w:val="000000"/>
          <w:sz w:val="22"/>
          <w:szCs w:val="22"/>
          <w:shd w:fill="auto" w:val="clear"/>
        </w:rPr>
        <w:t>Member of the public informed the Clerk that they had received Parish Council paperwork from Lloyds Bank. Clerk rectified immediately with Lloyds.</w:t>
      </w:r>
    </w:p>
    <w:p>
      <w:pPr>
        <w:pStyle w:val="TextBody"/>
        <w:spacing w:before="11" w:after="0"/>
        <w:rPr>
          <w:rFonts w:ascii="Calibri" w:hAnsi="Calibri"/>
          <w:color w:val="000000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color w:val="000000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Historic emails from change of provider – emails will stay on laptops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Review actions list as an agenda item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color w:val="000000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  <w:t>Date of next</w:t>
      </w:r>
      <w:r>
        <w:rPr>
          <w:rFonts w:ascii="Calibri" w:hAnsi="Calibri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color w:val="000000"/>
          <w:sz w:val="22"/>
          <w:szCs w:val="22"/>
          <w:shd w:fill="auto" w:val="clear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  <w:t>To confirm the date of the next meeting, scheduled for 11</w:t>
      </w:r>
      <w:r>
        <w:rPr>
          <w:rFonts w:ascii="Calibri" w:hAnsi="Calibri"/>
          <w:color w:val="000000"/>
          <w:sz w:val="22"/>
          <w:szCs w:val="22"/>
          <w:shd w:fill="auto" w:val="clear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  <w:shd w:fill="auto" w:val="clear"/>
        </w:rPr>
        <w:t xml:space="preserve"> July 2024 – meeting date changed to </w:t>
      </w:r>
      <w:r>
        <w:rPr>
          <w:color w:val="000000"/>
        </w:rPr>
        <w:t>Thursday 18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July</w:t>
      </w:r>
    </w:p>
    <w:p>
      <w:pPr>
        <w:pStyle w:val="TextBody"/>
        <w:spacing w:before="61" w:after="0"/>
        <w:ind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extBody"/>
        <w:spacing w:before="61" w:after="0"/>
        <w:ind w:hanging="0"/>
        <w:jc w:val="both"/>
        <w:rPr/>
      </w:pPr>
      <w:r>
        <w:rPr>
          <w:color w:val="000000"/>
        </w:rPr>
        <w:t>Meeting close: 19.36.</w:t>
      </w:r>
    </w:p>
    <w:p>
      <w:pPr>
        <w:pStyle w:val="TextBody"/>
        <w:spacing w:before="61" w:after="0"/>
        <w:ind w:hanging="0"/>
        <w:jc w:val="right"/>
        <w:rPr/>
      </w:pPr>
      <w:r>
        <w:rPr>
          <w:rFonts w:ascii="Calibri" w:hAnsi="Calibri"/>
          <w:i/>
          <w:sz w:val="22"/>
          <w:szCs w:val="22"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i/>
          <w:i/>
        </w:rPr>
      </w:pPr>
      <w:r>
        <w:rPr>
          <w:i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Approved by Chair…………………………………………………………………………………...Date……………………………..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7BEE936C">
              <wp:simplePos x="0" y="0"/>
              <wp:positionH relativeFrom="page">
                <wp:posOffset>6159500</wp:posOffset>
              </wp:positionH>
              <wp:positionV relativeFrom="page">
                <wp:posOffset>10217150</wp:posOffset>
              </wp:positionV>
              <wp:extent cx="891540" cy="13970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7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5" w:after="0"/>
                            <w:ind w:left="2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SALC August 2018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85pt;margin-top:804.5pt;width:70.15pt;height:10.95pt;mso-wrap-style:square;v-text-anchor:top;mso-position-horizontal-relative:page;mso-position-vertical-relative:page" wp14:anchorId="7BEE936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5" w:after="0"/>
                      <w:ind w:left="20" w:hanging="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SALC August 2018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Application>LibreOffice/7.4.0.3$Windows_X86_64 LibreOffice_project/f85e47c08ddd19c015c0114a68350214f7066f5a</Application>
  <AppVersion>15.0000</AppVersion>
  <Pages>2</Pages>
  <Words>613</Words>
  <Characters>3209</Characters>
  <CharactersWithSpaces>3746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cp:lastPrinted>2024-07-15T19:07:49Z</cp:lastPrinted>
  <dcterms:modified xsi:type="dcterms:W3CDTF">2024-07-15T19:10:26Z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